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9F" w:rsidRDefault="006C269F">
      <w:pPr>
        <w:spacing w:after="0" w:line="240" w:lineRule="auto"/>
        <w:rPr>
          <w:rFonts w:ascii="Helvetica Neue" w:eastAsia="Helvetica Neue" w:hAnsi="Helvetica Neue" w:cs="Helvetica Neue"/>
          <w:color w:val="212121"/>
          <w:sz w:val="10"/>
          <w:szCs w:val="10"/>
        </w:rPr>
      </w:pPr>
    </w:p>
    <w:p w:rsidR="006C269F" w:rsidRDefault="00EB0A8E">
      <w:pPr>
        <w:pStyle w:val="Ttulo1"/>
        <w:spacing w:after="120"/>
        <w:jc w:val="both"/>
        <w:rPr>
          <w:rFonts w:ascii="Arial" w:eastAsia="Arial" w:hAnsi="Arial" w:cs="Arial"/>
          <w:sz w:val="20"/>
          <w:szCs w:val="20"/>
          <w:highlight w:val="white"/>
        </w:rPr>
      </w:pPr>
      <w:bookmarkStart w:id="0" w:name="_heading=h.964h9i278r8z" w:colFirst="0" w:colLast="0"/>
      <w:bookmarkEnd w:id="0"/>
      <w:r>
        <w:rPr>
          <w:rFonts w:ascii="Arial" w:eastAsia="Arial" w:hAnsi="Arial" w:cs="Arial"/>
          <w:sz w:val="20"/>
          <w:szCs w:val="20"/>
          <w:highlight w:val="white"/>
        </w:rPr>
        <w:t xml:space="preserve">Cerebral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Venous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Thrombosis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Presenting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as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Simultaneous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Intracerebral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Hemorrhage</w:t>
      </w:r>
      <w:proofErr w:type="spellEnd"/>
    </w:p>
    <w:p w:rsidR="006C269F" w:rsidRDefault="00EB0A8E">
      <w:pPr>
        <w:pStyle w:val="Ttulo2"/>
        <w:shd w:val="clear" w:color="auto" w:fill="FFFFFF"/>
        <w:spacing w:before="360" w:after="80"/>
        <w:jc w:val="both"/>
        <w:rPr>
          <w:rFonts w:ascii="Arial" w:eastAsia="Arial" w:hAnsi="Arial" w:cs="Arial"/>
          <w:sz w:val="20"/>
          <w:szCs w:val="20"/>
        </w:rPr>
      </w:pPr>
      <w:bookmarkStart w:id="1" w:name="_heading=h.xgyxvq3erc01" w:colFirst="0" w:colLast="0"/>
      <w:bookmarkEnd w:id="1"/>
      <w:proofErr w:type="spellStart"/>
      <w:r>
        <w:rPr>
          <w:rFonts w:ascii="Arial" w:eastAsia="Arial" w:hAnsi="Arial" w:cs="Arial"/>
          <w:sz w:val="20"/>
          <w:szCs w:val="20"/>
        </w:rPr>
        <w:t>Abstract</w:t>
      </w:r>
      <w:proofErr w:type="spellEnd"/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37-year-old </w:t>
      </w:r>
      <w:proofErr w:type="spellStart"/>
      <w:r>
        <w:rPr>
          <w:rFonts w:ascii="Arial" w:eastAsia="Arial" w:hAnsi="Arial" w:cs="Arial"/>
          <w:sz w:val="20"/>
          <w:szCs w:val="20"/>
        </w:rPr>
        <w:t>pregnant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emergency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department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central facial </w:t>
      </w:r>
      <w:proofErr w:type="spellStart"/>
      <w:r>
        <w:rPr>
          <w:rFonts w:ascii="Arial" w:eastAsia="Arial" w:hAnsi="Arial" w:cs="Arial"/>
          <w:sz w:val="20"/>
          <w:szCs w:val="20"/>
        </w:rPr>
        <w:t>palsy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ipsilateral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hemiparesis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Arial" w:hAnsi="Arial" w:cs="Arial"/>
          <w:sz w:val="20"/>
          <w:szCs w:val="20"/>
        </w:rPr>
        <w:t>seizures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Brain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Computed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Tomogram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(CT) </w:t>
      </w:r>
      <w:proofErr w:type="spellStart"/>
      <w:r>
        <w:rPr>
          <w:rFonts w:ascii="Arial" w:eastAsia="Arial" w:hAnsi="Arial" w:cs="Arial"/>
          <w:sz w:val="20"/>
          <w:szCs w:val="20"/>
        </w:rPr>
        <w:t>showed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intracerebral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hemorrhage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(ICH) and bilateral frontal edema. </w:t>
      </w:r>
      <w:proofErr w:type="spellStart"/>
      <w:r>
        <w:rPr>
          <w:rFonts w:ascii="Arial" w:eastAsia="Arial" w:hAnsi="Arial" w:cs="Arial"/>
          <w:sz w:val="20"/>
          <w:szCs w:val="20"/>
        </w:rPr>
        <w:t>Magnetic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resonance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imaging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(MRI) </w:t>
      </w:r>
      <w:proofErr w:type="spellStart"/>
      <w:r>
        <w:rPr>
          <w:rFonts w:ascii="Arial" w:eastAsia="Arial" w:hAnsi="Arial" w:cs="Arial"/>
          <w:sz w:val="20"/>
          <w:szCs w:val="20"/>
        </w:rPr>
        <w:t>revealed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multifocal </w:t>
      </w:r>
      <w:proofErr w:type="spellStart"/>
      <w:r>
        <w:rPr>
          <w:rFonts w:ascii="Arial" w:eastAsia="Arial" w:hAnsi="Arial" w:cs="Arial"/>
          <w:sz w:val="20"/>
          <w:szCs w:val="20"/>
        </w:rPr>
        <w:t>hemorrhages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consistent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diagnosis of </w:t>
      </w:r>
      <w:proofErr w:type="spellStart"/>
      <w:r>
        <w:rPr>
          <w:rFonts w:ascii="Arial" w:eastAsia="Arial" w:hAnsi="Arial" w:cs="Arial"/>
          <w:sz w:val="20"/>
          <w:szCs w:val="20"/>
        </w:rPr>
        <w:t>multiple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simultaneous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ICH (MSICH) (Figure 1). </w:t>
      </w:r>
      <w:proofErr w:type="spellStart"/>
      <w:r>
        <w:rPr>
          <w:rFonts w:ascii="Arial" w:eastAsia="Arial" w:hAnsi="Arial" w:cs="Arial"/>
          <w:sz w:val="20"/>
          <w:szCs w:val="20"/>
        </w:rPr>
        <w:t>We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suspected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cerebral </w:t>
      </w:r>
      <w:proofErr w:type="spellStart"/>
      <w:r>
        <w:rPr>
          <w:rFonts w:ascii="Arial" w:eastAsia="Arial" w:hAnsi="Arial" w:cs="Arial"/>
          <w:sz w:val="20"/>
          <w:szCs w:val="20"/>
        </w:rPr>
        <w:t>venous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thrombosis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(CVT) and </w:t>
      </w:r>
      <w:proofErr w:type="spellStart"/>
      <w:r>
        <w:rPr>
          <w:rFonts w:ascii="Arial" w:eastAsia="Arial" w:hAnsi="Arial" w:cs="Arial"/>
          <w:sz w:val="20"/>
          <w:szCs w:val="20"/>
        </w:rPr>
        <w:t>performed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MR </w:t>
      </w:r>
      <w:proofErr w:type="spellStart"/>
      <w:r>
        <w:rPr>
          <w:rFonts w:ascii="Arial" w:eastAsia="Arial" w:hAnsi="Arial" w:cs="Arial"/>
          <w:sz w:val="20"/>
          <w:szCs w:val="20"/>
        </w:rPr>
        <w:t>angiogram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confirming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diagnosis (Figure 2). </w:t>
      </w:r>
      <w:proofErr w:type="spellStart"/>
      <w:r>
        <w:rPr>
          <w:rFonts w:ascii="Arial" w:eastAsia="Arial" w:hAnsi="Arial" w:cs="Arial"/>
          <w:sz w:val="20"/>
          <w:szCs w:val="20"/>
        </w:rPr>
        <w:t>Upon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admission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treated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>-molecular-</w:t>
      </w:r>
      <w:proofErr w:type="spellStart"/>
      <w:r>
        <w:rPr>
          <w:rFonts w:ascii="Arial" w:eastAsia="Arial" w:hAnsi="Arial" w:cs="Arial"/>
          <w:sz w:val="20"/>
          <w:szCs w:val="20"/>
        </w:rPr>
        <w:t>weight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heparin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transitioned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direct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oral </w:t>
      </w:r>
      <w:proofErr w:type="spellStart"/>
      <w:r>
        <w:rPr>
          <w:rFonts w:ascii="Arial" w:eastAsia="Arial" w:hAnsi="Arial" w:cs="Arial"/>
          <w:sz w:val="20"/>
          <w:szCs w:val="20"/>
        </w:rPr>
        <w:t>anticoagulation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discharge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Non </w:t>
      </w:r>
      <w:proofErr w:type="spellStart"/>
      <w:r>
        <w:rPr>
          <w:rFonts w:ascii="Arial" w:eastAsia="Arial" w:hAnsi="Arial" w:cs="Arial"/>
          <w:sz w:val="20"/>
          <w:szCs w:val="20"/>
        </w:rPr>
        <w:t>traumatic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MSICH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rare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imaging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mortality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usually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arterial in </w:t>
      </w:r>
      <w:proofErr w:type="spellStart"/>
      <w:r>
        <w:rPr>
          <w:rFonts w:ascii="Arial" w:eastAsia="Arial" w:hAnsi="Arial" w:cs="Arial"/>
          <w:sz w:val="20"/>
          <w:szCs w:val="20"/>
        </w:rPr>
        <w:t>origin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(1). </w:t>
      </w:r>
      <w:proofErr w:type="spellStart"/>
      <w:r>
        <w:rPr>
          <w:rFonts w:ascii="Arial" w:eastAsia="Arial" w:hAnsi="Arial" w:cs="Arial"/>
          <w:sz w:val="20"/>
          <w:szCs w:val="20"/>
        </w:rPr>
        <w:t>However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since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treatment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cerebral </w:t>
      </w:r>
      <w:proofErr w:type="spellStart"/>
      <w:r>
        <w:rPr>
          <w:rFonts w:ascii="Arial" w:eastAsia="Arial" w:hAnsi="Arial" w:cs="Arial"/>
          <w:sz w:val="20"/>
          <w:szCs w:val="20"/>
        </w:rPr>
        <w:t>venous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thrombosis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should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always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considered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diagnosis, </w:t>
      </w:r>
      <w:proofErr w:type="spellStart"/>
      <w:r>
        <w:rPr>
          <w:rFonts w:ascii="Arial" w:eastAsia="Arial" w:hAnsi="Arial" w:cs="Arial"/>
          <w:sz w:val="20"/>
          <w:szCs w:val="20"/>
        </w:rPr>
        <w:t>especially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young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female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known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risk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factors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such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eastAsia="Arial" w:hAnsi="Arial" w:cs="Arial"/>
          <w:sz w:val="20"/>
          <w:szCs w:val="20"/>
        </w:rPr>
        <w:t>pregnancy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puerperium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(2-4). MRI </w:t>
      </w:r>
      <w:proofErr w:type="spellStart"/>
      <w:r>
        <w:rPr>
          <w:rFonts w:ascii="Arial" w:eastAsia="Arial" w:hAnsi="Arial" w:cs="Arial"/>
          <w:sz w:val="20"/>
          <w:szCs w:val="20"/>
        </w:rPr>
        <w:t>modalities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(Echo-GRE) are </w:t>
      </w:r>
      <w:proofErr w:type="spellStart"/>
      <w:r>
        <w:rPr>
          <w:rFonts w:ascii="Arial" w:eastAsia="Arial" w:hAnsi="Arial" w:cs="Arial"/>
          <w:sz w:val="20"/>
          <w:szCs w:val="20"/>
        </w:rPr>
        <w:t>valuable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tools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identifying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ICH </w:t>
      </w:r>
      <w:proofErr w:type="spellStart"/>
      <w:r>
        <w:rPr>
          <w:rFonts w:ascii="Arial" w:eastAsia="Arial" w:hAnsi="Arial" w:cs="Arial"/>
          <w:sz w:val="20"/>
          <w:szCs w:val="20"/>
        </w:rPr>
        <w:t>when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CT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inconclusive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(5).</w:t>
      </w:r>
    </w:p>
    <w:p w:rsidR="00110F49" w:rsidRDefault="00110F49" w:rsidP="00110F49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bookmarkStart w:id="2" w:name="_heading=h.7kl7e7jnuuot" w:colFirst="0" w:colLast="0"/>
      <w:bookmarkEnd w:id="2"/>
    </w:p>
    <w:p w:rsidR="006C269F" w:rsidRPr="00110F49" w:rsidRDefault="00EB0A8E" w:rsidP="00110F49">
      <w:pPr>
        <w:pBdr>
          <w:top w:val="nil"/>
          <w:left w:val="nil"/>
          <w:bottom w:val="nil"/>
          <w:right w:val="nil"/>
          <w:between w:val="nil"/>
        </w:pBdr>
        <w:spacing w:before="30" w:after="3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>Pediatric</w:t>
      </w:r>
      <w:proofErr w:type="spellEnd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proofErr w:type="spellStart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>Brain</w:t>
      </w:r>
      <w:proofErr w:type="spellEnd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proofErr w:type="spellStart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>Stem</w:t>
      </w:r>
      <w:proofErr w:type="spellEnd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proofErr w:type="spellStart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>Cavernoma</w:t>
      </w:r>
      <w:proofErr w:type="spellEnd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 xml:space="preserve">: A </w:t>
      </w:r>
      <w:proofErr w:type="spellStart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>Therapeutic</w:t>
      </w:r>
      <w:proofErr w:type="spellEnd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proofErr w:type="spellStart"/>
      <w:r w:rsidRPr="00110F49">
        <w:rPr>
          <w:rFonts w:ascii="Arial" w:eastAsia="Arial" w:hAnsi="Arial" w:cs="Arial"/>
          <w:b/>
          <w:sz w:val="20"/>
          <w:szCs w:val="20"/>
          <w:highlight w:val="white"/>
        </w:rPr>
        <w:t>Conundrum</w:t>
      </w:r>
      <w:proofErr w:type="spellEnd"/>
    </w:p>
    <w:p w:rsidR="006C269F" w:rsidRDefault="00EB0A8E" w:rsidP="00110F49">
      <w:pPr>
        <w:shd w:val="clear" w:color="auto" w:fill="FFFFFF"/>
        <w:spacing w:before="30"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abstract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available</w:t>
      </w:r>
      <w:proofErr w:type="spellEnd"/>
    </w:p>
    <w:p w:rsidR="00110F49" w:rsidRDefault="00110F49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jc w:val="both"/>
      </w:pPr>
    </w:p>
    <w:p w:rsidR="00110F49" w:rsidRDefault="00110F49" w:rsidP="00110F49">
      <w:pPr>
        <w:pStyle w:val="Ttulo1"/>
        <w:spacing w:after="120"/>
        <w:jc w:val="both"/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The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TeLeo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Program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: Tele-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pediatric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oncology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as 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tool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support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training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programs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Latin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America</w:t>
      </w:r>
      <w:proofErr w:type="spellEnd"/>
    </w:p>
    <w:p w:rsidR="00110F49" w:rsidRDefault="00110F49" w:rsidP="00110F49">
      <w:pPr>
        <w:pStyle w:val="Ttulo2"/>
        <w:shd w:val="clear" w:color="auto" w:fill="FFFFFF"/>
        <w:spacing w:before="360" w:after="80"/>
        <w:jc w:val="both"/>
        <w:rPr>
          <w:rFonts w:ascii="Arial" w:eastAsia="Arial" w:hAnsi="Arial" w:cs="Arial"/>
          <w:sz w:val="20"/>
          <w:szCs w:val="20"/>
        </w:rPr>
      </w:pPr>
      <w:bookmarkStart w:id="3" w:name="_heading=h.7pu4iwd7k6vs" w:colFirst="0" w:colLast="0"/>
      <w:bookmarkEnd w:id="3"/>
      <w:proofErr w:type="spellStart"/>
      <w:r>
        <w:rPr>
          <w:rFonts w:ascii="Arial" w:eastAsia="Arial" w:hAnsi="Arial" w:cs="Arial"/>
          <w:sz w:val="20"/>
          <w:szCs w:val="20"/>
        </w:rPr>
        <w:t>Abstract</w:t>
      </w:r>
      <w:proofErr w:type="spellEnd"/>
    </w:p>
    <w:p w:rsidR="00110F49" w:rsidRDefault="00110F49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TeLeo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offers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free-</w:t>
      </w:r>
      <w:proofErr w:type="spellStart"/>
      <w:r>
        <w:rPr>
          <w:rFonts w:ascii="Arial" w:eastAsia="Arial" w:hAnsi="Arial" w:cs="Arial"/>
          <w:sz w:val="20"/>
          <w:szCs w:val="20"/>
        </w:rPr>
        <w:t>access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2-year online </w:t>
      </w:r>
      <w:proofErr w:type="spellStart"/>
      <w:r>
        <w:rPr>
          <w:rFonts w:ascii="Arial" w:eastAsia="Arial" w:hAnsi="Arial" w:cs="Arial"/>
          <w:sz w:val="20"/>
          <w:szCs w:val="20"/>
        </w:rPr>
        <w:t>learning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support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fellowship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pediatric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oncology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enhance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networking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opportunities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Arial" w:hAnsi="Arial" w:cs="Arial"/>
          <w:sz w:val="20"/>
          <w:szCs w:val="20"/>
        </w:rPr>
        <w:t>facilitate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exchange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context-specific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educational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pediatric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oncology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community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training in </w:t>
      </w:r>
      <w:proofErr w:type="spellStart"/>
      <w:r>
        <w:rPr>
          <w:rFonts w:ascii="Arial" w:eastAsia="Arial" w:hAnsi="Arial" w:cs="Arial"/>
          <w:sz w:val="20"/>
          <w:szCs w:val="20"/>
        </w:rPr>
        <w:t>Latin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edition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beginning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2021, 185 </w:t>
      </w:r>
      <w:proofErr w:type="spellStart"/>
      <w:r>
        <w:rPr>
          <w:rFonts w:ascii="Arial" w:eastAsia="Arial" w:hAnsi="Arial" w:cs="Arial"/>
          <w:sz w:val="20"/>
          <w:szCs w:val="20"/>
        </w:rPr>
        <w:t>fellows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40 centers in 12 </w:t>
      </w:r>
      <w:proofErr w:type="spellStart"/>
      <w:r>
        <w:rPr>
          <w:rFonts w:ascii="Arial" w:eastAsia="Arial" w:hAnsi="Arial" w:cs="Arial"/>
          <w:sz w:val="20"/>
          <w:szCs w:val="20"/>
        </w:rPr>
        <w:t>Latin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American </w:t>
      </w:r>
      <w:proofErr w:type="spellStart"/>
      <w:r>
        <w:rPr>
          <w:rFonts w:ascii="Arial" w:eastAsia="Arial" w:hAnsi="Arial" w:cs="Arial"/>
          <w:sz w:val="20"/>
          <w:szCs w:val="20"/>
        </w:rPr>
        <w:t>countries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enrolled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Additional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courses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healthcare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professionals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oncology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further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support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 digital </w:t>
      </w:r>
      <w:proofErr w:type="spellStart"/>
      <w:r>
        <w:rPr>
          <w:rFonts w:ascii="Arial" w:eastAsia="Arial" w:hAnsi="Arial" w:cs="Arial"/>
          <w:sz w:val="20"/>
          <w:szCs w:val="20"/>
        </w:rPr>
        <w:t>platform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created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easily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learning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after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registration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7075 </w:t>
      </w:r>
      <w:proofErr w:type="spellStart"/>
      <w:r>
        <w:rPr>
          <w:rFonts w:ascii="Arial" w:eastAsia="Arial" w:hAnsi="Arial" w:cs="Arial"/>
          <w:sz w:val="20"/>
          <w:szCs w:val="20"/>
        </w:rPr>
        <w:t>professionals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currently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registered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110F49" w:rsidRDefault="00110F49" w:rsidP="00110F49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Latin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America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learning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platform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pediatric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oncology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virtual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6C269F" w:rsidRDefault="00EB0A8E" w:rsidP="00110F49">
      <w:pPr>
        <w:pStyle w:val="Ttulo1"/>
        <w:spacing w:after="12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bookmarkStart w:id="4" w:name="_heading=h.o6kx0tlkamjz" w:colFirst="0" w:colLast="0"/>
      <w:bookmarkStart w:id="5" w:name="_heading=h.4uu2t86g0e7a" w:colFirst="0" w:colLast="0"/>
      <w:bookmarkEnd w:id="4"/>
      <w:bookmarkEnd w:id="5"/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Serum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25-Hydroxyvitamin 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with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Systemic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Lupus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Erythematosus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Exploratory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Study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in Western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Mexico</w:t>
      </w:r>
      <w:proofErr w:type="spellEnd"/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Background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objectives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diminished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25-hydroxyvitamin D (25-(OH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concentrations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heightened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systemic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 </w:t>
      </w:r>
      <w:proofErr w:type="spellStart"/>
      <w:r>
        <w:rPr>
          <w:rFonts w:ascii="Arial" w:eastAsia="Arial" w:hAnsi="Arial" w:cs="Arial"/>
          <w:sz w:val="20"/>
          <w:szCs w:val="20"/>
        </w:rPr>
        <w:t>erythematosus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(SLE)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remains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contentious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as </w:t>
      </w:r>
      <w:proofErr w:type="spellStart"/>
      <w:r>
        <w:rPr>
          <w:rFonts w:ascii="Arial" w:eastAsia="Arial" w:hAnsi="Arial" w:cs="Arial"/>
          <w:sz w:val="20"/>
          <w:szCs w:val="20"/>
        </w:rPr>
        <w:t>clinical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yielded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conflicting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outcomes-some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potential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link, </w:t>
      </w:r>
      <w:proofErr w:type="spellStart"/>
      <w:r>
        <w:rPr>
          <w:rFonts w:ascii="Arial" w:eastAsia="Arial" w:hAnsi="Arial" w:cs="Arial"/>
          <w:sz w:val="20"/>
          <w:szCs w:val="20"/>
        </w:rPr>
        <w:t>while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others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assert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sz w:val="20"/>
          <w:szCs w:val="20"/>
        </w:rPr>
        <w:t>relationship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exists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Nonetheless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report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significant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prevalence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SLE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aimed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frequency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Mexican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SLE and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evaluate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25-(OH)D </w:t>
      </w:r>
      <w:proofErr w:type="spellStart"/>
      <w:r>
        <w:rPr>
          <w:rFonts w:ascii="Arial" w:eastAsia="Arial" w:hAnsi="Arial" w:cs="Arial"/>
          <w:sz w:val="20"/>
          <w:szCs w:val="20"/>
        </w:rPr>
        <w:t>deficiency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insufficiency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Materials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methods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retrospective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comprised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admitted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hospital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November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2022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October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2023, </w:t>
      </w:r>
      <w:proofErr w:type="spellStart"/>
      <w:r>
        <w:rPr>
          <w:rFonts w:ascii="Arial" w:eastAsia="Arial" w:hAnsi="Arial" w:cs="Arial"/>
          <w:sz w:val="20"/>
          <w:szCs w:val="20"/>
        </w:rPr>
        <w:t>diagnosed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SLE, and </w:t>
      </w:r>
      <w:proofErr w:type="spellStart"/>
      <w:r>
        <w:rPr>
          <w:rFonts w:ascii="Arial" w:eastAsia="Arial" w:hAnsi="Arial" w:cs="Arial"/>
          <w:sz w:val="20"/>
          <w:szCs w:val="20"/>
        </w:rPr>
        <w:t>had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tested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upon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admission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frequency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assessed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Arial" w:hAnsi="Arial" w:cs="Arial"/>
          <w:sz w:val="20"/>
          <w:szCs w:val="20"/>
        </w:rPr>
        <w:t>clinical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demographic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gathered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examine </w:t>
      </w:r>
      <w:proofErr w:type="spellStart"/>
      <w:r>
        <w:rPr>
          <w:rFonts w:ascii="Arial" w:eastAsia="Arial" w:hAnsi="Arial" w:cs="Arial"/>
          <w:sz w:val="20"/>
          <w:szCs w:val="20"/>
        </w:rPr>
        <w:t>potential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causes </w:t>
      </w:r>
      <w:proofErr w:type="spellStart"/>
      <w:r>
        <w:rPr>
          <w:rFonts w:ascii="Arial" w:eastAsia="Arial" w:hAnsi="Arial" w:cs="Arial"/>
          <w:sz w:val="20"/>
          <w:szCs w:val="20"/>
        </w:rPr>
        <w:t>linked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25-(OH)D </w:t>
      </w:r>
      <w:proofErr w:type="spellStart"/>
      <w:r>
        <w:rPr>
          <w:rFonts w:ascii="Arial" w:eastAsia="Arial" w:hAnsi="Arial" w:cs="Arial"/>
          <w:sz w:val="20"/>
          <w:szCs w:val="20"/>
        </w:rPr>
        <w:t>deficiency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insufficiency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A total of 61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included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87% (n = 53) </w:t>
      </w:r>
      <w:proofErr w:type="spellStart"/>
      <w:r>
        <w:rPr>
          <w:rFonts w:ascii="Arial" w:eastAsia="Arial" w:hAnsi="Arial" w:cs="Arial"/>
          <w:sz w:val="20"/>
          <w:szCs w:val="20"/>
        </w:rPr>
        <w:t>had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deficiency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(n = 21)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significantly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younger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(mean 23 vs. 39 </w:t>
      </w:r>
      <w:proofErr w:type="spellStart"/>
      <w:r>
        <w:rPr>
          <w:rFonts w:ascii="Arial" w:eastAsia="Arial" w:hAnsi="Arial" w:cs="Arial"/>
          <w:sz w:val="20"/>
          <w:szCs w:val="20"/>
        </w:rPr>
        <w:t>years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= 0.04) and </w:t>
      </w:r>
      <w:proofErr w:type="spellStart"/>
      <w:r>
        <w:rPr>
          <w:rFonts w:ascii="Arial" w:eastAsia="Arial" w:hAnsi="Arial" w:cs="Arial"/>
          <w:sz w:val="20"/>
          <w:szCs w:val="20"/>
        </w:rPr>
        <w:t>had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protein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24 h </w:t>
      </w:r>
      <w:proofErr w:type="spellStart"/>
      <w:r>
        <w:rPr>
          <w:rFonts w:ascii="Arial" w:eastAsia="Arial" w:hAnsi="Arial" w:cs="Arial"/>
          <w:sz w:val="20"/>
          <w:szCs w:val="20"/>
        </w:rPr>
        <w:t>urine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protein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(1.8 vs. 1.1 g/24 h,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= 0.006) </w:t>
      </w:r>
      <w:proofErr w:type="spellStart"/>
      <w:r>
        <w:rPr>
          <w:rFonts w:ascii="Arial" w:eastAsia="Arial" w:hAnsi="Arial" w:cs="Arial"/>
          <w:sz w:val="20"/>
          <w:szCs w:val="20"/>
        </w:rPr>
        <w:t>than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25-(OH)D </w:t>
      </w:r>
      <w:proofErr w:type="spellStart"/>
      <w:r>
        <w:rPr>
          <w:rFonts w:ascii="Arial" w:eastAsia="Arial" w:hAnsi="Arial" w:cs="Arial"/>
          <w:sz w:val="20"/>
          <w:szCs w:val="20"/>
        </w:rPr>
        <w:t>insufficiency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without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significant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indicators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Conclusions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investigation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SLE </w:t>
      </w:r>
      <w:proofErr w:type="spellStart"/>
      <w:r>
        <w:rPr>
          <w:rFonts w:ascii="Arial" w:eastAsia="Arial" w:hAnsi="Arial" w:cs="Arial"/>
          <w:sz w:val="20"/>
          <w:szCs w:val="20"/>
        </w:rPr>
        <w:t>exhibited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frequency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25-(OH</w:t>
      </w:r>
      <w:proofErr w:type="gramStart"/>
      <w:r>
        <w:rPr>
          <w:rFonts w:ascii="Arial" w:eastAsia="Arial" w:hAnsi="Arial" w:cs="Arial"/>
          <w:sz w:val="20"/>
          <w:szCs w:val="20"/>
        </w:rPr>
        <w:t>)D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consistent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existing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literature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however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no </w:t>
      </w:r>
      <w:proofErr w:type="spellStart"/>
      <w:r>
        <w:rPr>
          <w:rFonts w:ascii="Arial" w:eastAsia="Arial" w:hAnsi="Arial" w:cs="Arial"/>
          <w:sz w:val="20"/>
          <w:szCs w:val="20"/>
        </w:rPr>
        <w:t>significant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correlations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identified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25-(OH)D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indicators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findings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validation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subsequent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research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25-hydroxyvitamin D; </w:t>
      </w:r>
      <w:proofErr w:type="spellStart"/>
      <w:r>
        <w:rPr>
          <w:rFonts w:ascii="Arial" w:eastAsia="Arial" w:hAnsi="Arial" w:cs="Arial"/>
          <w:sz w:val="20"/>
          <w:szCs w:val="20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systemic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 </w:t>
      </w:r>
      <w:proofErr w:type="spellStart"/>
      <w:r>
        <w:rPr>
          <w:rFonts w:ascii="Arial" w:eastAsia="Arial" w:hAnsi="Arial" w:cs="Arial"/>
          <w:sz w:val="20"/>
          <w:szCs w:val="20"/>
        </w:rPr>
        <w:t>erythematosus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vitamin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D.</w:t>
      </w:r>
    </w:p>
    <w:p w:rsidR="006C269F" w:rsidRDefault="00EB0A8E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6C269F" w:rsidRDefault="00EB0A8E">
      <w:pPr>
        <w:pStyle w:val="Ttulo1"/>
        <w:spacing w:after="120"/>
        <w:jc w:val="both"/>
        <w:rPr>
          <w:rFonts w:ascii="Arial" w:eastAsia="Arial" w:hAnsi="Arial" w:cs="Arial"/>
          <w:sz w:val="20"/>
          <w:szCs w:val="20"/>
          <w:highlight w:val="white"/>
        </w:rPr>
      </w:pPr>
      <w:bookmarkStart w:id="6" w:name="_heading=h.vblx5qtvbq3u" w:colFirst="0" w:colLast="0"/>
      <w:bookmarkEnd w:id="6"/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Association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Protein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Energy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Wasting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Oxidative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Stress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Markers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in Peritoneal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Dialysis</w:t>
      </w:r>
      <w:proofErr w:type="spellEnd"/>
    </w:p>
    <w:p w:rsidR="006C269F" w:rsidRDefault="00EB0A8E">
      <w:pPr>
        <w:pStyle w:val="Ttulo2"/>
        <w:shd w:val="clear" w:color="auto" w:fill="FFFFFF"/>
        <w:spacing w:before="360" w:after="80"/>
        <w:jc w:val="both"/>
        <w:rPr>
          <w:rFonts w:ascii="Arial" w:eastAsia="Arial" w:hAnsi="Arial" w:cs="Arial"/>
          <w:sz w:val="20"/>
          <w:szCs w:val="20"/>
        </w:rPr>
      </w:pPr>
      <w:bookmarkStart w:id="7" w:name="_heading=h.74u1ecdy630u" w:colFirst="0" w:colLast="0"/>
      <w:bookmarkEnd w:id="7"/>
      <w:proofErr w:type="spellStart"/>
      <w:r>
        <w:rPr>
          <w:rFonts w:ascii="Arial" w:eastAsia="Arial" w:hAnsi="Arial" w:cs="Arial"/>
          <w:sz w:val="20"/>
          <w:szCs w:val="20"/>
        </w:rPr>
        <w:t>Abstract</w:t>
      </w:r>
      <w:proofErr w:type="spellEnd"/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Introduction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Protein-energy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(PEW)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prevalent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undergoing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peritoneal </w:t>
      </w:r>
      <w:proofErr w:type="spellStart"/>
      <w:r>
        <w:rPr>
          <w:rFonts w:ascii="Arial" w:eastAsia="Arial" w:hAnsi="Arial" w:cs="Arial"/>
          <w:sz w:val="20"/>
          <w:szCs w:val="20"/>
        </w:rPr>
        <w:t>dialysis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(PD), and </w:t>
      </w:r>
      <w:proofErr w:type="spellStart"/>
      <w:r>
        <w:rPr>
          <w:rFonts w:ascii="Arial" w:eastAsia="Arial" w:hAnsi="Arial" w:cs="Arial"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has </w:t>
      </w:r>
      <w:proofErr w:type="spellStart"/>
      <w:r>
        <w:rPr>
          <w:rFonts w:ascii="Arial" w:eastAsia="Arial" w:hAnsi="Arial" w:cs="Arial"/>
          <w:sz w:val="20"/>
          <w:szCs w:val="20"/>
        </w:rPr>
        <w:t>been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proposed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oxidative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stress (OS) </w:t>
      </w:r>
      <w:proofErr w:type="spellStart"/>
      <w:r>
        <w:rPr>
          <w:rFonts w:ascii="Arial" w:eastAsia="Arial" w:hAnsi="Arial" w:cs="Arial"/>
          <w:sz w:val="20"/>
          <w:szCs w:val="20"/>
        </w:rPr>
        <w:t>may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contribute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pathogenesis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attempt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determine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association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PEW and OS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PD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Methods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sdt>
        <w:sdtPr>
          <w:tag w:val="goog_rdk_0"/>
          <w:id w:val="854317126"/>
        </w:sdtPr>
        <w:sdtContent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This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analytical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cross-sectional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study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involved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62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clinically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stable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PD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patients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aged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≥ 18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years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between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September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2017 and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July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2018. PEW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was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assessed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using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PEW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definition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criteria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7-point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Subjective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Global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Assessment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(SGA), and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Malnutrition-Inflammation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Score (MIS).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Redox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state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was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evaluated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through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oxidants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(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lipoperoxides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8-Isoprostane,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nitric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oxide),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antioxidants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(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superoxide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dismutase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catalase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glutathione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peroxidase-GPx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, total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antioxidant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capacity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), and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oxidative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DNA </w:t>
          </w:r>
          <w:proofErr w:type="spell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damage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[8-hydroxy2'-deoxyguanosine-8-OHdG, 8-Oxoguanine-DNA-N-Glycosylase-1(8-OHdG)].</w:t>
          </w:r>
        </w:sdtContent>
      </w:sdt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Among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participants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38 (61.2%)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males and 24 (38.8%)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22 (35.4%) </w:t>
      </w:r>
      <w:proofErr w:type="spellStart"/>
      <w:r>
        <w:rPr>
          <w:rFonts w:ascii="Arial" w:eastAsia="Arial" w:hAnsi="Arial" w:cs="Arial"/>
          <w:sz w:val="20"/>
          <w:szCs w:val="20"/>
        </w:rPr>
        <w:t>had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diabetes </w:t>
      </w:r>
      <w:proofErr w:type="spellStart"/>
      <w:r>
        <w:rPr>
          <w:rFonts w:ascii="Arial" w:eastAsia="Arial" w:hAnsi="Arial" w:cs="Arial"/>
          <w:sz w:val="20"/>
          <w:szCs w:val="20"/>
        </w:rPr>
        <w:t>mellitus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[males 15 (68.1%) and </w:t>
      </w:r>
      <w:proofErr w:type="spellStart"/>
      <w:r>
        <w:rPr>
          <w:rFonts w:ascii="Arial" w:eastAsia="Arial" w:hAnsi="Arial" w:cs="Arial"/>
          <w:sz w:val="20"/>
          <w:szCs w:val="20"/>
        </w:rPr>
        <w:t>females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7 (31.8%)].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average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PD </w:t>
      </w:r>
      <w:proofErr w:type="spellStart"/>
      <w:r>
        <w:rPr>
          <w:rFonts w:ascii="Arial" w:eastAsia="Arial" w:hAnsi="Arial" w:cs="Arial"/>
          <w:sz w:val="20"/>
          <w:szCs w:val="20"/>
        </w:rPr>
        <w:t>duration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11 (4-27) </w:t>
      </w:r>
      <w:proofErr w:type="spellStart"/>
      <w:r>
        <w:rPr>
          <w:rFonts w:ascii="Arial" w:eastAsia="Arial" w:hAnsi="Arial" w:cs="Arial"/>
          <w:sz w:val="20"/>
          <w:szCs w:val="20"/>
        </w:rPr>
        <w:t>months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body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index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23.5 ± 4.1 kg/m2, </w:t>
      </w:r>
      <w:proofErr w:type="spellStart"/>
      <w:r>
        <w:rPr>
          <w:rFonts w:ascii="Arial" w:eastAsia="Arial" w:hAnsi="Arial" w:cs="Arial"/>
          <w:sz w:val="20"/>
          <w:szCs w:val="20"/>
        </w:rPr>
        <w:t>energy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intake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1138.4 ± 394.2 </w:t>
      </w:r>
      <w:proofErr w:type="spellStart"/>
      <w:r>
        <w:rPr>
          <w:rFonts w:ascii="Arial" w:eastAsia="Arial" w:hAnsi="Arial" w:cs="Arial"/>
          <w:sz w:val="20"/>
          <w:szCs w:val="20"/>
        </w:rPr>
        <w:t>kcal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Arial" w:hAnsi="Arial" w:cs="Arial"/>
          <w:sz w:val="20"/>
          <w:szCs w:val="20"/>
        </w:rPr>
        <w:t>protein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intake</w:t>
      </w:r>
      <w:proofErr w:type="spellEnd"/>
      <w:r>
        <w:rPr>
          <w:rFonts w:ascii="Arial" w:eastAsia="Arial" w:hAnsi="Arial" w:cs="Arial"/>
          <w:sz w:val="20"/>
          <w:szCs w:val="20"/>
        </w:rPr>
        <w:t>: 50.2 ± 18.5 g/</w:t>
      </w:r>
      <w:proofErr w:type="spellStart"/>
      <w:r>
        <w:rPr>
          <w:rFonts w:ascii="Arial" w:eastAsia="Arial" w:hAnsi="Arial" w:cs="Arial"/>
          <w:sz w:val="20"/>
          <w:szCs w:val="20"/>
        </w:rPr>
        <w:t>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Prevalence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PEW </w:t>
      </w:r>
      <w:proofErr w:type="spellStart"/>
      <w:r>
        <w:rPr>
          <w:rFonts w:ascii="Arial" w:eastAsia="Arial" w:hAnsi="Arial" w:cs="Arial"/>
          <w:sz w:val="20"/>
          <w:szCs w:val="20"/>
        </w:rPr>
        <w:t>varied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assessment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method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(50-88.7%). Plasma 8-OHdG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PEW </w:t>
      </w:r>
      <w:proofErr w:type="spellStart"/>
      <w:r>
        <w:rPr>
          <w:rFonts w:ascii="Arial" w:eastAsia="Arial" w:hAnsi="Arial" w:cs="Arial"/>
          <w:sz w:val="20"/>
          <w:szCs w:val="20"/>
        </w:rPr>
        <w:t>evaluated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MIS (0.1 [0.1-56.4] vs. 1.8 [0.1-74.7] </w:t>
      </w:r>
      <w:proofErr w:type="spellStart"/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mL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 = .028), </w:t>
      </w:r>
      <w:proofErr w:type="spellStart"/>
      <w:r>
        <w:rPr>
          <w:rFonts w:ascii="Arial" w:eastAsia="Arial" w:hAnsi="Arial" w:cs="Arial"/>
          <w:sz w:val="20"/>
          <w:szCs w:val="20"/>
        </w:rPr>
        <w:t>while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GPx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PEW as </w:t>
      </w:r>
      <w:proofErr w:type="spellStart"/>
      <w:r>
        <w:rPr>
          <w:rFonts w:ascii="Arial" w:eastAsia="Arial" w:hAnsi="Arial" w:cs="Arial"/>
          <w:sz w:val="20"/>
          <w:szCs w:val="20"/>
        </w:rPr>
        <w:t>measured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MIS (3.6 [3.1-7.6] vs. 2.8 [1.2-10] </w:t>
      </w:r>
      <w:proofErr w:type="spellStart"/>
      <w:r>
        <w:rPr>
          <w:rFonts w:ascii="Arial" w:eastAsia="Arial" w:hAnsi="Arial" w:cs="Arial"/>
          <w:sz w:val="20"/>
          <w:szCs w:val="20"/>
        </w:rPr>
        <w:t>nmol</w:t>
      </w:r>
      <w:proofErr w:type="spellEnd"/>
      <w:r>
        <w:rPr>
          <w:rFonts w:ascii="Arial" w:eastAsia="Arial" w:hAnsi="Arial" w:cs="Arial"/>
          <w:sz w:val="20"/>
          <w:szCs w:val="20"/>
        </w:rPr>
        <w:t>/min/</w:t>
      </w:r>
      <w:proofErr w:type="spellStart"/>
      <w:r>
        <w:rPr>
          <w:rFonts w:ascii="Arial" w:eastAsia="Arial" w:hAnsi="Arial" w:cs="Arial"/>
          <w:sz w:val="20"/>
          <w:szCs w:val="20"/>
        </w:rPr>
        <w:t>mL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 = .021). No </w:t>
      </w:r>
      <w:proofErr w:type="spellStart"/>
      <w:r>
        <w:rPr>
          <w:rFonts w:ascii="Arial" w:eastAsia="Arial" w:hAnsi="Arial" w:cs="Arial"/>
          <w:sz w:val="20"/>
          <w:szCs w:val="20"/>
        </w:rPr>
        <w:t>significant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observed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PEW </w:t>
      </w:r>
      <w:proofErr w:type="spellStart"/>
      <w:r>
        <w:rPr>
          <w:rFonts w:ascii="Arial" w:eastAsia="Arial" w:hAnsi="Arial" w:cs="Arial"/>
          <w:sz w:val="20"/>
          <w:szCs w:val="20"/>
        </w:rPr>
        <w:t>markers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remaining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OS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Conclusions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In PD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PEW, </w:t>
      </w:r>
      <w:proofErr w:type="spellStart"/>
      <w:r>
        <w:rPr>
          <w:rFonts w:ascii="Arial" w:eastAsia="Arial" w:hAnsi="Arial" w:cs="Arial"/>
          <w:sz w:val="20"/>
          <w:szCs w:val="20"/>
        </w:rPr>
        <w:t>assessed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MIS, 8-OHdG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significantly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increased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while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GPx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significantly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low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6C269F" w:rsidRDefault="00EB0A8E">
      <w:pPr>
        <w:pStyle w:val="Ttulo1"/>
        <w:spacing w:after="120"/>
        <w:jc w:val="both"/>
        <w:rPr>
          <w:rFonts w:ascii="Arial" w:eastAsia="Arial" w:hAnsi="Arial" w:cs="Arial"/>
          <w:sz w:val="20"/>
          <w:szCs w:val="20"/>
          <w:highlight w:val="white"/>
        </w:rPr>
      </w:pPr>
      <w:bookmarkStart w:id="8" w:name="_heading=h.upnxypezndo" w:colFirst="0" w:colLast="0"/>
      <w:bookmarkEnd w:id="8"/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The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Association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of Anti-Sm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with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Osteopontin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Related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to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Cognitive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Impairment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in a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Pristane-Induced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Lupus BALB/c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Mice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Model</w:t>
      </w:r>
      <w:proofErr w:type="spellEnd"/>
    </w:p>
    <w:p w:rsidR="006C269F" w:rsidRDefault="00EB0A8E">
      <w:pPr>
        <w:pStyle w:val="Ttulo2"/>
        <w:shd w:val="clear" w:color="auto" w:fill="FFFFFF"/>
        <w:spacing w:before="360" w:after="80"/>
        <w:jc w:val="both"/>
        <w:rPr>
          <w:rFonts w:ascii="Arial" w:eastAsia="Arial" w:hAnsi="Arial" w:cs="Arial"/>
          <w:sz w:val="20"/>
          <w:szCs w:val="20"/>
        </w:rPr>
      </w:pPr>
      <w:bookmarkStart w:id="9" w:name="_heading=h.yhfecmbzagab" w:colFirst="0" w:colLast="0"/>
      <w:bookmarkEnd w:id="9"/>
      <w:proofErr w:type="spellStart"/>
      <w:r>
        <w:rPr>
          <w:rFonts w:ascii="Arial" w:eastAsia="Arial" w:hAnsi="Arial" w:cs="Arial"/>
          <w:sz w:val="20"/>
          <w:szCs w:val="20"/>
        </w:rPr>
        <w:t>Abstract</w:t>
      </w:r>
      <w:proofErr w:type="spellEnd"/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BALB/c </w:t>
      </w:r>
      <w:proofErr w:type="spellStart"/>
      <w:r>
        <w:rPr>
          <w:rFonts w:ascii="Arial" w:eastAsia="Arial" w:hAnsi="Arial" w:cs="Arial"/>
          <w:sz w:val="20"/>
          <w:szCs w:val="20"/>
        </w:rPr>
        <w:t>model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pristane-induced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 (PIL) </w:t>
      </w:r>
      <w:proofErr w:type="spellStart"/>
      <w:r>
        <w:rPr>
          <w:rFonts w:ascii="Arial" w:eastAsia="Arial" w:hAnsi="Arial" w:cs="Arial"/>
          <w:sz w:val="20"/>
          <w:szCs w:val="20"/>
        </w:rPr>
        <w:t>exhibits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cognitive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impairment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features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resembling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neuropsychiatric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 (NPLSE). </w:t>
      </w:r>
      <w:proofErr w:type="spellStart"/>
      <w:r>
        <w:rPr>
          <w:rFonts w:ascii="Arial" w:eastAsia="Arial" w:hAnsi="Arial" w:cs="Arial"/>
          <w:sz w:val="20"/>
          <w:szCs w:val="20"/>
        </w:rPr>
        <w:t>Osteopontin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(OPN)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associated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disease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SLE; </w:t>
      </w:r>
      <w:proofErr w:type="spellStart"/>
      <w:r>
        <w:rPr>
          <w:rFonts w:ascii="Arial" w:eastAsia="Arial" w:hAnsi="Arial" w:cs="Arial"/>
          <w:sz w:val="20"/>
          <w:szCs w:val="20"/>
        </w:rPr>
        <w:t>however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involvement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NPLSE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entirely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determined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aims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elucidate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contribution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full-</w:t>
      </w:r>
      <w:proofErr w:type="spellStart"/>
      <w:r>
        <w:rPr>
          <w:rFonts w:ascii="Arial" w:eastAsia="Arial" w:hAnsi="Arial" w:cs="Arial"/>
          <w:sz w:val="20"/>
          <w:szCs w:val="20"/>
        </w:rPr>
        <w:t>length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OPN (OPN-FL) plasma </w:t>
      </w:r>
      <w:proofErr w:type="spellStart"/>
      <w:r>
        <w:rPr>
          <w:rFonts w:ascii="Arial" w:eastAsia="Arial" w:hAnsi="Arial" w:cs="Arial"/>
          <w:sz w:val="20"/>
          <w:szCs w:val="20"/>
        </w:rPr>
        <w:t>expression</w:t>
      </w:r>
      <w:proofErr w:type="spellEnd"/>
      <w:r>
        <w:rPr>
          <w:rFonts w:ascii="Arial" w:eastAsia="Arial" w:hAnsi="Arial" w:cs="Arial"/>
          <w:sz w:val="20"/>
          <w:szCs w:val="20"/>
        </w:rPr>
        <w:t>, OPN N-</w:t>
      </w:r>
      <w:proofErr w:type="spellStart"/>
      <w:r>
        <w:rPr>
          <w:rFonts w:ascii="Arial" w:eastAsia="Arial" w:hAnsi="Arial" w:cs="Arial"/>
          <w:sz w:val="20"/>
          <w:szCs w:val="20"/>
        </w:rPr>
        <w:t>half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r>
        <w:rPr>
          <w:rFonts w:ascii="Arial" w:eastAsia="Arial" w:hAnsi="Arial" w:cs="Arial"/>
          <w:i/>
          <w:sz w:val="20"/>
          <w:szCs w:val="20"/>
        </w:rPr>
        <w:t>Spp1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cognitive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impairment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PIL </w:t>
      </w:r>
      <w:proofErr w:type="spellStart"/>
      <w:r>
        <w:rPr>
          <w:rFonts w:ascii="Arial" w:eastAsia="Arial" w:hAnsi="Arial" w:cs="Arial"/>
          <w:sz w:val="20"/>
          <w:szCs w:val="20"/>
        </w:rPr>
        <w:t>mice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 total of 76 </w:t>
      </w:r>
      <w:proofErr w:type="spellStart"/>
      <w:r>
        <w:rPr>
          <w:rFonts w:ascii="Arial" w:eastAsia="Arial" w:hAnsi="Arial" w:cs="Arial"/>
          <w:sz w:val="20"/>
          <w:szCs w:val="20"/>
        </w:rPr>
        <w:t>female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BALB/c </w:t>
      </w:r>
      <w:proofErr w:type="spellStart"/>
      <w:r>
        <w:rPr>
          <w:rFonts w:ascii="Arial" w:eastAsia="Arial" w:hAnsi="Arial" w:cs="Arial"/>
          <w:sz w:val="20"/>
          <w:szCs w:val="20"/>
        </w:rPr>
        <w:t>mice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divided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pristane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(P), </w:t>
      </w:r>
      <w:proofErr w:type="spellStart"/>
      <w:r>
        <w:rPr>
          <w:rFonts w:ascii="Arial" w:eastAsia="Arial" w:hAnsi="Arial" w:cs="Arial"/>
          <w:sz w:val="20"/>
          <w:szCs w:val="20"/>
        </w:rPr>
        <w:t>pristane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plus </w:t>
      </w:r>
      <w:proofErr w:type="spellStart"/>
      <w:r>
        <w:rPr>
          <w:rFonts w:ascii="Arial" w:eastAsia="Arial" w:hAnsi="Arial" w:cs="Arial"/>
          <w:sz w:val="20"/>
          <w:szCs w:val="20"/>
        </w:rPr>
        <w:t>lipopolysaccharide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 plus LPS) and control (C) </w:t>
      </w:r>
      <w:proofErr w:type="spellStart"/>
      <w:r>
        <w:rPr>
          <w:rFonts w:ascii="Arial" w:eastAsia="Arial" w:hAnsi="Arial" w:cs="Arial"/>
          <w:sz w:val="20"/>
          <w:szCs w:val="20"/>
        </w:rPr>
        <w:t>groups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behavioral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tests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 </w:t>
      </w:r>
      <w:proofErr w:type="spellStart"/>
      <w:r>
        <w:rPr>
          <w:rFonts w:ascii="Arial" w:eastAsia="Arial" w:hAnsi="Arial" w:cs="Arial"/>
          <w:sz w:val="20"/>
          <w:szCs w:val="20"/>
        </w:rPr>
        <w:t>group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showed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cognitive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visuospatial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memory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impairment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Elevated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plasma OPN FL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P </w:t>
      </w:r>
      <w:proofErr w:type="spellStart"/>
      <w:r>
        <w:rPr>
          <w:rFonts w:ascii="Arial" w:eastAsia="Arial" w:hAnsi="Arial" w:cs="Arial"/>
          <w:sz w:val="20"/>
          <w:szCs w:val="20"/>
        </w:rPr>
        <w:t>compared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 </w:t>
      </w:r>
      <w:proofErr w:type="spellStart"/>
      <w:r>
        <w:rPr>
          <w:rFonts w:ascii="Arial" w:eastAsia="Arial" w:hAnsi="Arial" w:cs="Arial"/>
          <w:sz w:val="20"/>
          <w:szCs w:val="20"/>
        </w:rPr>
        <w:t>groups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(177.7 ± 90.1 vs. 105.9 ± 56.8 </w:t>
      </w:r>
      <w:proofErr w:type="spellStart"/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mL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= 0.009) and OPN N-</w:t>
      </w:r>
      <w:proofErr w:type="spellStart"/>
      <w:r>
        <w:rPr>
          <w:rFonts w:ascii="Arial" w:eastAsia="Arial" w:hAnsi="Arial" w:cs="Arial"/>
          <w:sz w:val="20"/>
          <w:szCs w:val="20"/>
        </w:rPr>
        <w:t>half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 and C </w:t>
      </w:r>
      <w:proofErr w:type="spellStart"/>
      <w:r>
        <w:rPr>
          <w:rFonts w:ascii="Arial" w:eastAsia="Arial" w:hAnsi="Arial" w:cs="Arial"/>
          <w:sz w:val="20"/>
          <w:szCs w:val="20"/>
        </w:rPr>
        <w:t>groups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(673.5 ± 144.6 vs. 624.5 ± 377.7 </w:t>
      </w:r>
      <w:proofErr w:type="spellStart"/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mL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= 0.028) and P plus LPS and C </w:t>
      </w:r>
      <w:proofErr w:type="spellStart"/>
      <w:r>
        <w:rPr>
          <w:rFonts w:ascii="Arial" w:eastAsia="Arial" w:hAnsi="Arial" w:cs="Arial"/>
          <w:sz w:val="20"/>
          <w:szCs w:val="20"/>
        </w:rPr>
        <w:t>groups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(624.5 ± 377.7 vs. 381.4 ± 205.0 </w:t>
      </w:r>
      <w:proofErr w:type="spellStart"/>
      <w:r>
        <w:rPr>
          <w:rFonts w:ascii="Arial" w:eastAsia="Arial" w:hAnsi="Arial" w:cs="Arial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mL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= 0.001). Anti-Sm </w:t>
      </w:r>
      <w:proofErr w:type="spellStart"/>
      <w:r>
        <w:rPr>
          <w:rFonts w:ascii="Arial" w:eastAsia="Arial" w:hAnsi="Arial" w:cs="Arial"/>
          <w:sz w:val="20"/>
          <w:szCs w:val="20"/>
        </w:rPr>
        <w:t>correlated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OPN-FL (r = 0.269,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= 0.0150).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expression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r>
        <w:rPr>
          <w:rFonts w:ascii="Arial" w:eastAsia="Arial" w:hAnsi="Arial" w:cs="Arial"/>
          <w:i/>
          <w:sz w:val="20"/>
          <w:szCs w:val="20"/>
        </w:rPr>
        <w:t>Spp1</w:t>
      </w:r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brain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2.5 and 2.7-fold </w:t>
      </w:r>
      <w:proofErr w:type="spellStart"/>
      <w:r>
        <w:rPr>
          <w:rFonts w:ascii="Arial" w:eastAsia="Arial" w:hAnsi="Arial" w:cs="Arial"/>
          <w:sz w:val="20"/>
          <w:szCs w:val="20"/>
        </w:rPr>
        <w:t>higher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P and P plus LPS </w:t>
      </w:r>
      <w:proofErr w:type="spellStart"/>
      <w:r>
        <w:rPr>
          <w:rFonts w:ascii="Arial" w:eastAsia="Arial" w:hAnsi="Arial" w:cs="Arial"/>
          <w:sz w:val="20"/>
          <w:szCs w:val="20"/>
        </w:rPr>
        <w:t>groups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respectively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evidence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suggests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OPN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cognitive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impairment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PIL </w:t>
      </w:r>
      <w:proofErr w:type="spellStart"/>
      <w:r>
        <w:rPr>
          <w:rFonts w:ascii="Arial" w:eastAsia="Arial" w:hAnsi="Arial" w:cs="Arial"/>
          <w:sz w:val="20"/>
          <w:szCs w:val="20"/>
        </w:rPr>
        <w:t>mice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might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relevant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role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detrimental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neurological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conditions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NPSLE.</w:t>
      </w:r>
    </w:p>
    <w:p w:rsidR="006C269F" w:rsidRDefault="00EB0A8E" w:rsidP="00110F49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anti-Sm </w:t>
      </w:r>
      <w:proofErr w:type="spellStart"/>
      <w:r>
        <w:rPr>
          <w:rFonts w:ascii="Arial" w:eastAsia="Arial" w:hAnsi="Arial" w:cs="Arial"/>
          <w:sz w:val="20"/>
          <w:szCs w:val="20"/>
        </w:rPr>
        <w:t>antibodies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neuropsychiatric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lupus; </w:t>
      </w:r>
      <w:proofErr w:type="spellStart"/>
      <w:r>
        <w:rPr>
          <w:rFonts w:ascii="Arial" w:eastAsia="Arial" w:hAnsi="Arial" w:cs="Arial"/>
          <w:sz w:val="20"/>
          <w:szCs w:val="20"/>
        </w:rPr>
        <w:t>osteopontin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pristane-induced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lupus; </w:t>
      </w:r>
      <w:proofErr w:type="spellStart"/>
      <w:r>
        <w:rPr>
          <w:rFonts w:ascii="Arial" w:eastAsia="Arial" w:hAnsi="Arial" w:cs="Arial"/>
          <w:sz w:val="20"/>
          <w:szCs w:val="20"/>
        </w:rPr>
        <w:t>spatial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learning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memory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systemic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lupus </w:t>
      </w:r>
      <w:proofErr w:type="spellStart"/>
      <w:r>
        <w:rPr>
          <w:rFonts w:ascii="Arial" w:eastAsia="Arial" w:hAnsi="Arial" w:cs="Arial"/>
          <w:sz w:val="20"/>
          <w:szCs w:val="20"/>
        </w:rPr>
        <w:t>erythematosus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</w:t>
      </w:r>
    </w:p>
    <w:p w:rsidR="006C269F" w:rsidRDefault="00EB0A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br w:type="page"/>
      </w:r>
    </w:p>
    <w:p w:rsidR="006C269F" w:rsidRDefault="00EB0A8E" w:rsidP="00110F49">
      <w:pPr>
        <w:pStyle w:val="Ttulo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10" w:name="_heading=h.tz6nnvyuds00" w:colFirst="0" w:colLast="0"/>
      <w:bookmarkEnd w:id="10"/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respiratory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distress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syndrome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severity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A </w:t>
      </w:r>
      <w:proofErr w:type="spellStart"/>
      <w:r>
        <w:rPr>
          <w:rFonts w:ascii="Arial" w:eastAsia="Arial" w:hAnsi="Arial" w:cs="Arial"/>
          <w:sz w:val="20"/>
          <w:szCs w:val="20"/>
        </w:rPr>
        <w:t>Bayesian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post-hoc </w:t>
      </w:r>
      <w:proofErr w:type="spellStart"/>
      <w:r>
        <w:rPr>
          <w:rFonts w:ascii="Arial" w:eastAsia="Arial" w:hAnsi="Arial" w:cs="Arial"/>
          <w:sz w:val="20"/>
          <w:szCs w:val="20"/>
        </w:rPr>
        <w:t>analysis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cross-sectional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trial</w:t>
      </w:r>
    </w:p>
    <w:p w:rsidR="006C269F" w:rsidRDefault="00EB0A8E">
      <w:pPr>
        <w:pStyle w:val="Ttulo2"/>
        <w:spacing w:before="360" w:after="80"/>
        <w:jc w:val="both"/>
        <w:rPr>
          <w:rFonts w:ascii="Arial" w:eastAsia="Arial" w:hAnsi="Arial" w:cs="Arial"/>
          <w:sz w:val="20"/>
          <w:szCs w:val="20"/>
        </w:rPr>
      </w:pPr>
      <w:bookmarkStart w:id="11" w:name="_heading=h.z4ud50p2vhe8" w:colFirst="0" w:colLast="0"/>
      <w:bookmarkEnd w:id="11"/>
      <w:proofErr w:type="spellStart"/>
      <w:r>
        <w:rPr>
          <w:rFonts w:ascii="Arial" w:eastAsia="Arial" w:hAnsi="Arial" w:cs="Arial"/>
          <w:sz w:val="20"/>
          <w:szCs w:val="20"/>
        </w:rPr>
        <w:t>Abstract</w:t>
      </w:r>
      <w:proofErr w:type="spellEnd"/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Objective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relationship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equations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severity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acute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respiratory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distress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syndrome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(ARDS) </w:t>
      </w:r>
      <w:proofErr w:type="spellStart"/>
      <w:r>
        <w:rPr>
          <w:rFonts w:ascii="Arial" w:eastAsia="Arial" w:hAnsi="Arial" w:cs="Arial"/>
          <w:sz w:val="20"/>
          <w:szCs w:val="20"/>
        </w:rPr>
        <w:t>remains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unclear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aimed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evaluate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various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equations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total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total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comprising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dynamic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and </w:t>
      </w:r>
      <w:proofErr w:type="spellStart"/>
      <w:r>
        <w:rPr>
          <w:rFonts w:ascii="Arial" w:eastAsia="Arial" w:hAnsi="Arial" w:cs="Arial"/>
          <w:sz w:val="20"/>
          <w:szCs w:val="20"/>
        </w:rPr>
        <w:t>resistive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in a </w:t>
      </w:r>
      <w:proofErr w:type="spellStart"/>
      <w:r>
        <w:rPr>
          <w:rFonts w:ascii="Arial" w:eastAsia="Arial" w:hAnsi="Arial" w:cs="Arial"/>
          <w:sz w:val="20"/>
          <w:szCs w:val="20"/>
        </w:rPr>
        <w:t>cohort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mechanically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ventilated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without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ARDS. </w:t>
      </w:r>
      <w:proofErr w:type="spellStart"/>
      <w:r>
        <w:rPr>
          <w:rFonts w:ascii="Arial" w:eastAsia="Arial" w:hAnsi="Arial" w:cs="Arial"/>
          <w:sz w:val="20"/>
          <w:szCs w:val="20"/>
        </w:rPr>
        <w:t>Bayesian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employed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refine </w:t>
      </w:r>
      <w:proofErr w:type="spellStart"/>
      <w:r>
        <w:rPr>
          <w:rFonts w:ascii="Arial" w:eastAsia="Arial" w:hAnsi="Arial" w:cs="Arial"/>
          <w:sz w:val="20"/>
          <w:szCs w:val="20"/>
        </w:rPr>
        <w:t>estimates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quantify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uncertainty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incorporating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priori </w:t>
      </w:r>
      <w:proofErr w:type="spellStart"/>
      <w:r>
        <w:rPr>
          <w:rFonts w:ascii="Arial" w:eastAsia="Arial" w:hAnsi="Arial" w:cs="Arial"/>
          <w:sz w:val="20"/>
          <w:szCs w:val="20"/>
        </w:rPr>
        <w:t>distributions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Design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Bayesian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post-hoc </w:t>
      </w:r>
      <w:proofErr w:type="spellStart"/>
      <w:r>
        <w:rPr>
          <w:rFonts w:ascii="Arial" w:eastAsia="Arial" w:hAnsi="Arial" w:cs="Arial"/>
          <w:sz w:val="20"/>
          <w:szCs w:val="20"/>
        </w:rPr>
        <w:t>analysis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conducted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Setting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113 </w:t>
      </w:r>
      <w:proofErr w:type="spellStart"/>
      <w:r>
        <w:rPr>
          <w:rFonts w:ascii="Arial" w:eastAsia="Arial" w:hAnsi="Arial" w:cs="Arial"/>
          <w:sz w:val="20"/>
          <w:szCs w:val="20"/>
        </w:rPr>
        <w:t>intensive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units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across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15 </w:t>
      </w:r>
      <w:proofErr w:type="spellStart"/>
      <w:r>
        <w:rPr>
          <w:rFonts w:ascii="Arial" w:eastAsia="Arial" w:hAnsi="Arial" w:cs="Arial"/>
          <w:sz w:val="20"/>
          <w:szCs w:val="20"/>
        </w:rPr>
        <w:t>countries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4 </w:t>
      </w:r>
      <w:proofErr w:type="spellStart"/>
      <w:r>
        <w:rPr>
          <w:rFonts w:ascii="Arial" w:eastAsia="Arial" w:hAnsi="Arial" w:cs="Arial"/>
          <w:sz w:val="20"/>
          <w:szCs w:val="20"/>
        </w:rPr>
        <w:t>continents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Adults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received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invasive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ventilation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volume-controlled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mild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moderate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severe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ARDS) and </w:t>
      </w:r>
      <w:proofErr w:type="spellStart"/>
      <w:r>
        <w:rPr>
          <w:rFonts w:ascii="Arial" w:eastAsia="Arial" w:hAnsi="Arial" w:cs="Arial"/>
          <w:sz w:val="20"/>
          <w:szCs w:val="20"/>
        </w:rPr>
        <w:t>without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Interventions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None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Main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variables of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interest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ARDS,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Results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5.8 J/min (BF: 0.3) in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 and 7.4 J/min (BF: 0.9) in </w:t>
      </w:r>
      <w:proofErr w:type="spellStart"/>
      <w:r>
        <w:rPr>
          <w:rFonts w:ascii="Arial" w:eastAsia="Arial" w:hAnsi="Arial" w:cs="Arial"/>
          <w:sz w:val="20"/>
          <w:szCs w:val="20"/>
        </w:rPr>
        <w:t>moderate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severe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 </w:t>
      </w:r>
      <w:proofErr w:type="spellStart"/>
      <w:r>
        <w:rPr>
          <w:rFonts w:ascii="Arial" w:eastAsia="Arial" w:hAnsi="Arial" w:cs="Arial"/>
          <w:sz w:val="20"/>
          <w:szCs w:val="20"/>
        </w:rPr>
        <w:t>patients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Bayesian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regression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modeling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analysis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revealed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independently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correlated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(a posteriori Mean: 1.3; 95% </w:t>
      </w:r>
      <w:proofErr w:type="spellStart"/>
      <w:r>
        <w:rPr>
          <w:rFonts w:ascii="Arial" w:eastAsia="Arial" w:hAnsi="Arial" w:cs="Arial"/>
          <w:sz w:val="20"/>
          <w:szCs w:val="20"/>
        </w:rPr>
        <w:t>Credible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Interval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[</w:t>
      </w:r>
      <w:proofErr w:type="spellStart"/>
      <w:r>
        <w:rPr>
          <w:rFonts w:ascii="Arial" w:eastAsia="Arial" w:hAnsi="Arial" w:cs="Arial"/>
          <w:sz w:val="20"/>
          <w:szCs w:val="20"/>
        </w:rPr>
        <w:t>Cred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Interval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]: 0.2-2.2) and </w:t>
      </w:r>
      <w:proofErr w:type="spellStart"/>
      <w:r>
        <w:rPr>
          <w:rFonts w:ascii="Arial" w:eastAsia="Arial" w:hAnsi="Arial" w:cs="Arial"/>
          <w:sz w:val="20"/>
          <w:szCs w:val="20"/>
        </w:rPr>
        <w:t>moderate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severe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 (a posteriori Mean: 2.8; 95% </w:t>
      </w:r>
      <w:proofErr w:type="spellStart"/>
      <w:r>
        <w:rPr>
          <w:rFonts w:ascii="Arial" w:eastAsia="Arial" w:hAnsi="Arial" w:cs="Arial"/>
          <w:sz w:val="20"/>
          <w:szCs w:val="20"/>
        </w:rPr>
        <w:t>Cred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Interval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1.7-3.8) more </w:t>
      </w:r>
      <w:proofErr w:type="spellStart"/>
      <w:r>
        <w:rPr>
          <w:rFonts w:ascii="Arial" w:eastAsia="Arial" w:hAnsi="Arial" w:cs="Arial"/>
          <w:sz w:val="20"/>
          <w:szCs w:val="20"/>
        </w:rPr>
        <w:t>strongly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equations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Conclusions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strongest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ARDS </w:t>
      </w:r>
      <w:proofErr w:type="spellStart"/>
      <w:r>
        <w:rPr>
          <w:rFonts w:ascii="Arial" w:eastAsia="Arial" w:hAnsi="Arial" w:cs="Arial"/>
          <w:sz w:val="20"/>
          <w:szCs w:val="20"/>
        </w:rPr>
        <w:t>severity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equations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Prospective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needed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further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validate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findings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6C269F" w:rsidRDefault="00EB0A8E" w:rsidP="00110F49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ARDS; </w:t>
      </w:r>
      <w:proofErr w:type="spellStart"/>
      <w:r>
        <w:rPr>
          <w:rFonts w:ascii="Arial" w:eastAsia="Arial" w:hAnsi="Arial" w:cs="Arial"/>
          <w:sz w:val="20"/>
          <w:szCs w:val="20"/>
        </w:rPr>
        <w:t>Elastic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Invasive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ventilation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Mechanical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sz w:val="20"/>
          <w:szCs w:val="20"/>
        </w:rPr>
        <w:t>; PEEP; Poder elástico estático; Poder mecánico; SDRA; VALI; Ventilación mecánica invasiva.</w:t>
      </w:r>
    </w:p>
    <w:p w:rsidR="006C269F" w:rsidRDefault="006C269F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rPr>
          <w:rFonts w:ascii="Helvetica Neue" w:eastAsia="Helvetica Neue" w:hAnsi="Helvetica Neue" w:cs="Helvetica Neue"/>
          <w:color w:val="212121"/>
          <w:sz w:val="18"/>
          <w:szCs w:val="18"/>
        </w:rPr>
      </w:pPr>
    </w:p>
    <w:p w:rsidR="006C269F" w:rsidRDefault="006C269F">
      <w:pP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212121"/>
          <w:sz w:val="18"/>
          <w:szCs w:val="18"/>
        </w:rPr>
      </w:pPr>
    </w:p>
    <w:sectPr w:rsidR="006C269F" w:rsidSect="006C269F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46" w:rsidRDefault="001E6D46" w:rsidP="006C269F">
      <w:pPr>
        <w:spacing w:after="0" w:line="240" w:lineRule="auto"/>
      </w:pPr>
      <w:r>
        <w:separator/>
      </w:r>
    </w:p>
  </w:endnote>
  <w:endnote w:type="continuationSeparator" w:id="0">
    <w:p w:rsidR="001E6D46" w:rsidRDefault="001E6D46" w:rsidP="006C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F" w:rsidRDefault="00EB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-862011</wp:posOffset>
          </wp:positionH>
          <wp:positionV relativeFrom="paragraph">
            <wp:posOffset>-240713</wp:posOffset>
          </wp:positionV>
          <wp:extent cx="7671435" cy="94869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1435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46" w:rsidRDefault="001E6D46" w:rsidP="006C269F">
      <w:pPr>
        <w:spacing w:after="0" w:line="240" w:lineRule="auto"/>
      </w:pPr>
      <w:r>
        <w:separator/>
      </w:r>
    </w:p>
  </w:footnote>
  <w:footnote w:type="continuationSeparator" w:id="0">
    <w:p w:rsidR="001E6D46" w:rsidRDefault="001E6D46" w:rsidP="006C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F" w:rsidRDefault="00EB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color w:val="000000"/>
      </w:rPr>
      <w:t xml:space="preserve">[Escriba texto][Escriba </w:t>
    </w:r>
    <w:proofErr w:type="spellStart"/>
    <w:r>
      <w:rPr>
        <w:rFonts w:eastAsia="Cambria"/>
        <w:color w:val="000000"/>
      </w:rPr>
      <w:t>texto][Escriba</w:t>
    </w:r>
    <w:proofErr w:type="spellEnd"/>
    <w:r>
      <w:rPr>
        <w:rFonts w:eastAsia="Cambria"/>
        <w:color w:val="000000"/>
      </w:rPr>
      <w:t xml:space="preserve"> texto]</w:t>
    </w:r>
  </w:p>
  <w:p w:rsidR="006C269F" w:rsidRDefault="006C26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9F" w:rsidRDefault="00EB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-982977</wp:posOffset>
          </wp:positionH>
          <wp:positionV relativeFrom="paragraph">
            <wp:posOffset>-447036</wp:posOffset>
          </wp:positionV>
          <wp:extent cx="7494905" cy="764540"/>
          <wp:effectExtent l="0" t="0" r="0" b="0"/>
          <wp:wrapSquare wrapText="bothSides" distT="0" distB="0" distL="114300" distR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4905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69F"/>
    <w:rsid w:val="00110F49"/>
    <w:rsid w:val="001E6D46"/>
    <w:rsid w:val="006C269F"/>
    <w:rsid w:val="00807D59"/>
    <w:rsid w:val="00C86CE8"/>
    <w:rsid w:val="00EB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s-ES" w:eastAsia="es-E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7F"/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5052A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5052A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0"/>
    <w:next w:val="normal0"/>
    <w:rsid w:val="006C26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C26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C26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6C269F"/>
  </w:style>
  <w:style w:type="table" w:customStyle="1" w:styleId="TableNormal">
    <w:name w:val="Table Normal"/>
    <w:rsid w:val="006C2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26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6C269F"/>
  </w:style>
  <w:style w:type="table" w:customStyle="1" w:styleId="TableNormal0">
    <w:name w:val="Table Normal"/>
    <w:rsid w:val="006C2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6C269F"/>
  </w:style>
  <w:style w:type="table" w:customStyle="1" w:styleId="TableNormal1">
    <w:name w:val="Table Normal"/>
    <w:rsid w:val="006C269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-nfasis61">
    <w:name w:val="Tabla con cuadrícula 4 - Énfasis 61"/>
    <w:basedOn w:val="Tablanormal"/>
    <w:uiPriority w:val="49"/>
    <w:rsid w:val="00A8677F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8677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52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052A4"/>
    <w:rPr>
      <w:rFonts w:ascii="Times New Roman" w:hAnsi="Times New Roman" w:cs="Times New Roman"/>
      <w:b/>
      <w:bCs/>
      <w:sz w:val="36"/>
      <w:szCs w:val="36"/>
    </w:rPr>
  </w:style>
  <w:style w:type="character" w:customStyle="1" w:styleId="period">
    <w:name w:val="period"/>
    <w:basedOn w:val="Fuentedeprrafopredeter"/>
    <w:rsid w:val="005052A4"/>
  </w:style>
  <w:style w:type="character" w:customStyle="1" w:styleId="cit">
    <w:name w:val="cit"/>
    <w:basedOn w:val="Fuentedeprrafopredeter"/>
    <w:rsid w:val="005052A4"/>
  </w:style>
  <w:style w:type="character" w:customStyle="1" w:styleId="citation-doi">
    <w:name w:val="citation-doi"/>
    <w:basedOn w:val="Fuentedeprrafopredeter"/>
    <w:rsid w:val="005052A4"/>
  </w:style>
  <w:style w:type="character" w:customStyle="1" w:styleId="secondary-date">
    <w:name w:val="secondary-date"/>
    <w:basedOn w:val="Fuentedeprrafopredeter"/>
    <w:rsid w:val="005052A4"/>
  </w:style>
  <w:style w:type="character" w:customStyle="1" w:styleId="authors-list-item">
    <w:name w:val="authors-list-item"/>
    <w:basedOn w:val="Fuentedeprrafopredeter"/>
    <w:rsid w:val="005052A4"/>
  </w:style>
  <w:style w:type="character" w:customStyle="1" w:styleId="author-sup-separator">
    <w:name w:val="author-sup-separator"/>
    <w:basedOn w:val="Fuentedeprrafopredeter"/>
    <w:rsid w:val="005052A4"/>
  </w:style>
  <w:style w:type="character" w:customStyle="1" w:styleId="comma">
    <w:name w:val="comma"/>
    <w:basedOn w:val="Fuentedeprrafopredeter"/>
    <w:rsid w:val="005052A4"/>
  </w:style>
  <w:style w:type="character" w:customStyle="1" w:styleId="identifier">
    <w:name w:val="identifier"/>
    <w:basedOn w:val="Fuentedeprrafopredeter"/>
    <w:rsid w:val="005052A4"/>
  </w:style>
  <w:style w:type="character" w:customStyle="1" w:styleId="id-label">
    <w:name w:val="id-label"/>
    <w:basedOn w:val="Fuentedeprrafopredeter"/>
    <w:rsid w:val="005052A4"/>
  </w:style>
  <w:style w:type="character" w:styleId="Textoennegrita">
    <w:name w:val="Strong"/>
    <w:basedOn w:val="Fuentedeprrafopredeter"/>
    <w:uiPriority w:val="22"/>
    <w:qFormat/>
    <w:rsid w:val="005052A4"/>
    <w:rPr>
      <w:b/>
      <w:bCs/>
    </w:rPr>
  </w:style>
  <w:style w:type="character" w:customStyle="1" w:styleId="free-label">
    <w:name w:val="free-label"/>
    <w:basedOn w:val="Fuentedeprrafopredeter"/>
    <w:rsid w:val="005052A4"/>
  </w:style>
  <w:style w:type="paragraph" w:styleId="NormalWeb">
    <w:name w:val="Normal (Web)"/>
    <w:basedOn w:val="Normal"/>
    <w:uiPriority w:val="99"/>
    <w:unhideWhenUsed/>
    <w:rsid w:val="005052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052A4"/>
    <w:rPr>
      <w:color w:val="800080" w:themeColor="followedHyperlink"/>
      <w:u w:val="single"/>
    </w:rPr>
  </w:style>
  <w:style w:type="character" w:customStyle="1" w:styleId="ahead-of-print">
    <w:name w:val="ahead-of-print"/>
    <w:basedOn w:val="Fuentedeprrafopredeter"/>
    <w:rsid w:val="005052A4"/>
  </w:style>
  <w:style w:type="character" w:styleId="nfasis">
    <w:name w:val="Emphasis"/>
    <w:basedOn w:val="Fuentedeprrafopredeter"/>
    <w:uiPriority w:val="20"/>
    <w:qFormat/>
    <w:rsid w:val="005052A4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97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7B3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97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7B3"/>
    <w:rPr>
      <w:rFonts w:eastAsiaTheme="minorHAns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7B3"/>
    <w:rPr>
      <w:rFonts w:ascii="Lucida Grande" w:eastAsiaTheme="minorHAnsi" w:hAnsi="Lucida Grande"/>
      <w:sz w:val="18"/>
      <w:szCs w:val="18"/>
      <w:lang w:val="es-ES" w:eastAsia="en-US"/>
    </w:rPr>
  </w:style>
  <w:style w:type="paragraph" w:customStyle="1" w:styleId="copyright">
    <w:name w:val="copyright"/>
    <w:basedOn w:val="Normal"/>
    <w:rsid w:val="001149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equal-contrib">
    <w:name w:val="equal-contrib"/>
    <w:basedOn w:val="Fuentedeprrafopredeter"/>
    <w:rsid w:val="00A772D4"/>
  </w:style>
  <w:style w:type="character" w:customStyle="1" w:styleId="Ttulo3Car">
    <w:name w:val="Título 3 Car"/>
    <w:basedOn w:val="Fuentedeprrafopredeter"/>
    <w:link w:val="Ttulo3"/>
    <w:uiPriority w:val="9"/>
    <w:semiHidden/>
    <w:rsid w:val="00D1287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customStyle="1" w:styleId="Ttulo10">
    <w:name w:val="Título1"/>
    <w:basedOn w:val="Fuentedeprrafopredeter"/>
    <w:rsid w:val="00395363"/>
  </w:style>
  <w:style w:type="character" w:customStyle="1" w:styleId="button-label">
    <w:name w:val="button-label"/>
    <w:basedOn w:val="Fuentedeprrafopredeter"/>
    <w:rsid w:val="00D73D33"/>
  </w:style>
  <w:style w:type="character" w:customStyle="1" w:styleId="name">
    <w:name w:val="name"/>
    <w:basedOn w:val="Fuentedeprrafopredeter"/>
    <w:rsid w:val="000B1538"/>
  </w:style>
  <w:style w:type="character" w:customStyle="1" w:styleId="semicolon">
    <w:name w:val="semicolon"/>
    <w:basedOn w:val="Fuentedeprrafopredeter"/>
    <w:rsid w:val="007C0B61"/>
  </w:style>
  <w:style w:type="character" w:customStyle="1" w:styleId="docsum-authors">
    <w:name w:val="docsum-authors"/>
    <w:basedOn w:val="Fuentedeprrafopredeter"/>
    <w:rsid w:val="0042740A"/>
  </w:style>
  <w:style w:type="character" w:customStyle="1" w:styleId="docsum-journal-citation">
    <w:name w:val="docsum-journal-citation"/>
    <w:basedOn w:val="Fuentedeprrafopredeter"/>
    <w:rsid w:val="0042740A"/>
  </w:style>
  <w:style w:type="character" w:customStyle="1" w:styleId="citation-part">
    <w:name w:val="citation-part"/>
    <w:basedOn w:val="Fuentedeprrafopredeter"/>
    <w:rsid w:val="0042740A"/>
  </w:style>
  <w:style w:type="character" w:customStyle="1" w:styleId="docsum-pmid">
    <w:name w:val="docsum-pmid"/>
    <w:basedOn w:val="Fuentedeprrafopredeter"/>
    <w:rsid w:val="0042740A"/>
  </w:style>
  <w:style w:type="character" w:customStyle="1" w:styleId="free-resources">
    <w:name w:val="free-resources"/>
    <w:basedOn w:val="Fuentedeprrafopredeter"/>
    <w:rsid w:val="0042740A"/>
  </w:style>
  <w:style w:type="character" w:customStyle="1" w:styleId="no-abstract">
    <w:name w:val="no-abstract"/>
    <w:basedOn w:val="Fuentedeprrafopredeter"/>
    <w:rsid w:val="0042740A"/>
  </w:style>
  <w:style w:type="character" w:customStyle="1" w:styleId="usa-banner-button-text">
    <w:name w:val="usa-banner-button-text"/>
    <w:basedOn w:val="Fuentedeprrafopredeter"/>
    <w:rsid w:val="0042740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2740A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s-ES_tradnl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2740A"/>
    <w:rPr>
      <w:rFonts w:ascii="Arial" w:hAnsi="Arial" w:cs="Arial"/>
      <w:vanish/>
      <w:sz w:val="16"/>
      <w:szCs w:val="16"/>
    </w:rPr>
  </w:style>
  <w:style w:type="character" w:customStyle="1" w:styleId="twitter-typeahead">
    <w:name w:val="twitter-typeahead"/>
    <w:basedOn w:val="Fuentedeprrafopredeter"/>
    <w:rsid w:val="0042740A"/>
  </w:style>
  <w:style w:type="character" w:customStyle="1" w:styleId="usa-search-submit-text">
    <w:name w:val="usa-search-submit-text"/>
    <w:basedOn w:val="Fuentedeprrafopredeter"/>
    <w:rsid w:val="0042740A"/>
  </w:style>
  <w:style w:type="character" w:customStyle="1" w:styleId="search-input-link">
    <w:name w:val="search-input-link"/>
    <w:basedOn w:val="Fuentedeprrafopredeter"/>
    <w:rsid w:val="0042740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2740A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s-ES_tradnl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2740A"/>
    <w:rPr>
      <w:rFonts w:ascii="Arial" w:hAnsi="Arial" w:cs="Arial"/>
      <w:vanish/>
      <w:sz w:val="16"/>
      <w:szCs w:val="16"/>
    </w:rPr>
  </w:style>
  <w:style w:type="character" w:customStyle="1" w:styleId="single-result-redirect-message">
    <w:name w:val="single-result-redirect-message"/>
    <w:basedOn w:val="Fuentedeprrafopredeter"/>
    <w:rsid w:val="0042740A"/>
  </w:style>
  <w:style w:type="character" w:customStyle="1" w:styleId="search-query">
    <w:name w:val="search-query"/>
    <w:basedOn w:val="Fuentedeprrafopredeter"/>
    <w:rsid w:val="0042740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352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6C26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C26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0">
    <w:basedOn w:val="TableNormal1"/>
    <w:rsid w:val="006C26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1">
    <w:basedOn w:val="TableNormal1"/>
    <w:rsid w:val="006C26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2">
    <w:basedOn w:val="TableNormal1"/>
    <w:rsid w:val="006C26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3">
    <w:basedOn w:val="TableNormal1"/>
    <w:rsid w:val="006C26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4">
    <w:basedOn w:val="TableNormal1"/>
    <w:rsid w:val="006C26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pV6JeHjIVEZHNnylKZli5E5jA==">CgMxLjAaJAoBMBIfCh0IB0IZCgVBcmlhbBIQQXJpYWwgVW5pY29kZSBNUzIOaC45NjRoOWkyNzhyOHoyDmgueGd5eHZxM2VyYzAxMg5oLjdrbDdlN2pudXVvdDIOaC5vNmt4MHRsa2FtanoyDmguN3B1NGl3ZDdrNnZzMg5oLjR1dTJ0ODZnMGU3YTIOaC52Ymx4NXF0dmJxM3UyDmguNzR1MWVjZHk2MzB1Mg1oLnVwbnh5cGV6bmRvMg5oLnloZmVjbWJ6YWdhYjIOaC50ejZubnZ5dWRzMDAyDmguejR1ZDUwcDJ2aGU4OAByITFfMWlsUlFNbk5qSjR3alptdkpWRXlrUHhMMHp3ZWZ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1452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Cabrales</dc:creator>
  <cp:lastModifiedBy>Usuario</cp:lastModifiedBy>
  <cp:revision>3</cp:revision>
  <dcterms:created xsi:type="dcterms:W3CDTF">2025-05-30T16:45:00Z</dcterms:created>
  <dcterms:modified xsi:type="dcterms:W3CDTF">2025-05-30T17:04:00Z</dcterms:modified>
</cp:coreProperties>
</file>